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B" w:rsidRPr="00FA3E6B" w:rsidRDefault="00FA3E6B" w:rsidP="00FA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6B" w:rsidRPr="00FA3E6B" w:rsidRDefault="00FA3E6B" w:rsidP="00FA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6B" w:rsidRPr="00FA3E6B" w:rsidRDefault="00FA3E6B" w:rsidP="00FA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B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FA3E6B" w:rsidRPr="00FA3E6B" w:rsidRDefault="00FA3E6B" w:rsidP="00FA3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A3E6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A3E6B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A3E6B" w:rsidRPr="00FA3E6B" w:rsidRDefault="00FA3E6B" w:rsidP="00FA3E6B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A3E6B" w:rsidRPr="00FA3E6B" w:rsidRDefault="00973132" w:rsidP="00FA3E6B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3E6B" w:rsidRPr="00FA3E6B">
        <w:rPr>
          <w:rFonts w:ascii="Times New Roman" w:hAnsi="Times New Roman" w:cs="Times New Roman"/>
          <w:sz w:val="28"/>
          <w:szCs w:val="28"/>
        </w:rPr>
        <w:t>т 0</w:t>
      </w:r>
      <w:r w:rsidR="00FA3E6B">
        <w:rPr>
          <w:rFonts w:ascii="Times New Roman" w:hAnsi="Times New Roman" w:cs="Times New Roman"/>
          <w:sz w:val="28"/>
          <w:szCs w:val="28"/>
        </w:rPr>
        <w:t>7</w:t>
      </w:r>
      <w:r w:rsidR="00FA3E6B" w:rsidRPr="00FA3E6B">
        <w:rPr>
          <w:rFonts w:ascii="Times New Roman" w:hAnsi="Times New Roman" w:cs="Times New Roman"/>
          <w:sz w:val="28"/>
          <w:szCs w:val="28"/>
        </w:rPr>
        <w:t>.10.20</w:t>
      </w:r>
      <w:r w:rsidR="00FA3E6B">
        <w:rPr>
          <w:rFonts w:ascii="Times New Roman" w:hAnsi="Times New Roman" w:cs="Times New Roman"/>
          <w:sz w:val="28"/>
          <w:szCs w:val="28"/>
        </w:rPr>
        <w:t>20</w:t>
      </w:r>
      <w:r w:rsidR="00FA3E6B" w:rsidRPr="00FA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 </w:t>
      </w:r>
      <w:r w:rsidR="00FA3E6B">
        <w:rPr>
          <w:rFonts w:ascii="Times New Roman" w:hAnsi="Times New Roman" w:cs="Times New Roman"/>
          <w:sz w:val="28"/>
          <w:szCs w:val="28"/>
        </w:rPr>
        <w:t>77</w:t>
      </w:r>
    </w:p>
    <w:p w:rsidR="00FA3E6B" w:rsidRPr="00FA3E6B" w:rsidRDefault="00FA3E6B" w:rsidP="00FA3E6B">
      <w:pPr>
        <w:tabs>
          <w:tab w:val="left" w:pos="1215"/>
        </w:tabs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A3E6B">
        <w:rPr>
          <w:rFonts w:ascii="Times New Roman" w:hAnsi="Times New Roman" w:cs="Times New Roman"/>
        </w:rPr>
        <w:t>хутор Харьковский</w:t>
      </w:r>
    </w:p>
    <w:p w:rsidR="00FA3E6B" w:rsidRPr="00FA3E6B" w:rsidRDefault="00FA3E6B" w:rsidP="00FA3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1BE" w:rsidRDefault="00400ADF" w:rsidP="008721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 определения нормативных затрат на обеспечение функций</w:t>
      </w:r>
      <w:r w:rsidR="001F61DD" w:rsidRPr="001C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  <w:r w:rsidR="00F56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Харьковского </w:t>
      </w:r>
      <w:r w:rsidR="001F61DD" w:rsidRPr="001C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</w:t>
      </w:r>
      <w:r w:rsidR="00D61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Лабинского района, включая </w:t>
      </w:r>
      <w:r w:rsidR="00623B23" w:rsidRPr="00623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учреждение культуры Харьковского сельского поселения Лабинского района </w:t>
      </w:r>
    </w:p>
    <w:p w:rsidR="00400ADF" w:rsidRDefault="00623B23" w:rsidP="008721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Культуры и Досуга»</w:t>
      </w:r>
    </w:p>
    <w:p w:rsidR="008721BE" w:rsidRDefault="008721BE" w:rsidP="008721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97A" w:rsidRDefault="00400ADF" w:rsidP="001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3359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F61DD" w:rsidRPr="001C38ED" w:rsidRDefault="00400ADF" w:rsidP="0033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нужд»,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F61DD" w:rsidRPr="001C38ED" w:rsidRDefault="00400ADF" w:rsidP="001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правила определения нормативных затрат на обеспечение функций муници</w:t>
      </w:r>
      <w:r w:rsidR="0084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органов, включая </w:t>
      </w:r>
      <w:r w:rsidR="00623B23" w:rsidRPr="008A4549">
        <w:rPr>
          <w:rFonts w:ascii="Times New Roman" w:hAnsi="Times New Roman" w:cs="Times New Roman"/>
          <w:sz w:val="28"/>
          <w:szCs w:val="28"/>
        </w:rPr>
        <w:t>Муниципальное</w:t>
      </w:r>
      <w:r w:rsidR="00623B23">
        <w:rPr>
          <w:rFonts w:ascii="Times New Roman" w:hAnsi="Times New Roman" w:cs="Times New Roman"/>
          <w:sz w:val="28"/>
          <w:szCs w:val="28"/>
        </w:rPr>
        <w:t xml:space="preserve"> </w:t>
      </w:r>
      <w:r w:rsidR="00623B23" w:rsidRPr="008A4549">
        <w:rPr>
          <w:rFonts w:ascii="Times New Roman" w:hAnsi="Times New Roman" w:cs="Times New Roman"/>
          <w:sz w:val="28"/>
          <w:szCs w:val="28"/>
        </w:rPr>
        <w:t>казенное учреждение культуры Харьковского сельского поселения Лабинского района «Центр Культуры и Досуга»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</w:t>
      </w:r>
    </w:p>
    <w:p w:rsidR="001F61DD" w:rsidRPr="001C38ED" w:rsidRDefault="001F61DD" w:rsidP="0010764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hAnsi="Times New Roman" w:cs="Times New Roman"/>
          <w:sz w:val="28"/>
          <w:szCs w:val="28"/>
        </w:rPr>
        <w:t xml:space="preserve">2. </w:t>
      </w:r>
      <w:r w:rsidR="001A45F3">
        <w:rPr>
          <w:rFonts w:ascii="Times New Roman" w:hAnsi="Times New Roman" w:cs="Times New Roman"/>
          <w:sz w:val="28"/>
          <w:szCs w:val="28"/>
        </w:rPr>
        <w:t>Ведущему</w:t>
      </w:r>
      <w:r w:rsidRPr="001C38ED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F5629A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1C38E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1A45F3">
        <w:rPr>
          <w:rFonts w:ascii="Times New Roman" w:hAnsi="Times New Roman" w:cs="Times New Roman"/>
          <w:sz w:val="28"/>
          <w:szCs w:val="28"/>
        </w:rPr>
        <w:t>Филипченко О.В.</w:t>
      </w:r>
      <w:r w:rsidRPr="001C38ED">
        <w:rPr>
          <w:rFonts w:ascii="Times New Roman" w:hAnsi="Times New Roman" w:cs="Times New Roman"/>
          <w:sz w:val="28"/>
          <w:szCs w:val="28"/>
        </w:rPr>
        <w:t xml:space="preserve">  обнародовать настоящее постановление и  разместить на официальном сайте администрации </w:t>
      </w:r>
      <w:r w:rsidR="00F5629A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1C38E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F61DD" w:rsidRPr="001C38ED" w:rsidRDefault="001F61DD" w:rsidP="0010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1F61DD" w:rsidRPr="001C38ED" w:rsidRDefault="001F61DD" w:rsidP="0010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обнародования.</w:t>
      </w:r>
    </w:p>
    <w:p w:rsidR="001F61DD" w:rsidRDefault="001F61DD" w:rsidP="001F61DD">
      <w:pPr>
        <w:pStyle w:val="aa"/>
        <w:tabs>
          <w:tab w:val="left" w:pos="0"/>
        </w:tabs>
        <w:jc w:val="both"/>
        <w:rPr>
          <w:szCs w:val="28"/>
        </w:rPr>
      </w:pPr>
    </w:p>
    <w:p w:rsidR="00480F60" w:rsidRDefault="00480F60" w:rsidP="001F61DD">
      <w:pPr>
        <w:pStyle w:val="aa"/>
        <w:tabs>
          <w:tab w:val="left" w:pos="0"/>
        </w:tabs>
        <w:jc w:val="both"/>
        <w:rPr>
          <w:szCs w:val="28"/>
        </w:rPr>
      </w:pPr>
    </w:p>
    <w:p w:rsidR="001F61DD" w:rsidRPr="001C38ED" w:rsidRDefault="005276C8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629A">
        <w:rPr>
          <w:rFonts w:ascii="Times New Roman" w:hAnsi="Times New Roman" w:cs="Times New Roman"/>
          <w:sz w:val="28"/>
          <w:szCs w:val="28"/>
        </w:rPr>
        <w:t>а</w:t>
      </w:r>
      <w:r w:rsidR="001F61DD" w:rsidRPr="001C38ED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</w:t>
      </w:r>
      <w:r w:rsidR="00F5629A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0764E" w:rsidRPr="001C38ED" w:rsidTr="001076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764E" w:rsidRPr="001C38ED" w:rsidRDefault="0010764E" w:rsidP="001F6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CF2" w:rsidRDefault="00CB7CF2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29A" w:rsidRDefault="00F5629A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C8" w:rsidRDefault="005276C8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C8" w:rsidRPr="001C38ED" w:rsidRDefault="005276C8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F5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Харьковского </w:t>
            </w: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Лабинского района 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1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07.10.2020</w:t>
            </w: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1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64E" w:rsidRPr="001C38ED" w:rsidRDefault="0010764E" w:rsidP="001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DF" w:rsidRPr="001C38ED" w:rsidRDefault="00400ADF" w:rsidP="001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5522B7" w:rsidRPr="001C38ED" w:rsidRDefault="005522B7" w:rsidP="0055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</w:t>
      </w:r>
    </w:p>
    <w:p w:rsidR="00CB7CF2" w:rsidRDefault="00CB7CF2" w:rsidP="00CB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на обеспечение функций администрации </w:t>
      </w:r>
      <w:r w:rsidR="00F56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Харьковского </w:t>
      </w:r>
      <w:r w:rsidRPr="001C3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="00F56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Лабинского района, включая </w:t>
      </w:r>
      <w:r w:rsidR="00623B23" w:rsidRPr="008A4549">
        <w:rPr>
          <w:rFonts w:ascii="Times New Roman" w:hAnsi="Times New Roman" w:cs="Times New Roman"/>
          <w:sz w:val="28"/>
          <w:szCs w:val="28"/>
        </w:rPr>
        <w:t>Муниципальное</w:t>
      </w:r>
      <w:r w:rsidR="00623B23">
        <w:rPr>
          <w:rFonts w:ascii="Times New Roman" w:hAnsi="Times New Roman" w:cs="Times New Roman"/>
          <w:sz w:val="28"/>
          <w:szCs w:val="28"/>
        </w:rPr>
        <w:t xml:space="preserve"> </w:t>
      </w:r>
      <w:r w:rsidR="00623B23" w:rsidRPr="008A4549">
        <w:rPr>
          <w:rFonts w:ascii="Times New Roman" w:hAnsi="Times New Roman" w:cs="Times New Roman"/>
          <w:sz w:val="28"/>
          <w:szCs w:val="28"/>
        </w:rPr>
        <w:t>казенное учреждение культуры Харьковского сельского поселения Лабинского района «Центр Культуры и Досуга»</w:t>
      </w:r>
    </w:p>
    <w:p w:rsidR="00623B23" w:rsidRPr="001C38ED" w:rsidRDefault="00623B23" w:rsidP="00CB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определения нормативных затрат на обеспечение функций муниципальных органов, включая </w:t>
      </w:r>
      <w:r w:rsidR="00623B23" w:rsidRPr="008A4549">
        <w:rPr>
          <w:rFonts w:ascii="Times New Roman" w:hAnsi="Times New Roman" w:cs="Times New Roman"/>
          <w:sz w:val="28"/>
          <w:szCs w:val="28"/>
        </w:rPr>
        <w:t>Муниципальное</w:t>
      </w:r>
      <w:r w:rsidR="00623B23">
        <w:rPr>
          <w:rFonts w:ascii="Times New Roman" w:hAnsi="Times New Roman" w:cs="Times New Roman"/>
          <w:sz w:val="28"/>
          <w:szCs w:val="28"/>
        </w:rPr>
        <w:t xml:space="preserve"> </w:t>
      </w:r>
      <w:r w:rsidR="00623B23" w:rsidRPr="008A4549">
        <w:rPr>
          <w:rFonts w:ascii="Times New Roman" w:hAnsi="Times New Roman" w:cs="Times New Roman"/>
          <w:sz w:val="28"/>
          <w:szCs w:val="28"/>
        </w:rPr>
        <w:t>казенное учреждение культуры Харьковского сельского поселения Лабинского района «Центр Культуры и Досуга»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 определения нормативных затрат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подведомственное казенное учреждение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разработаны в соответствии с </w:t>
      </w:r>
      <w:hyperlink r:id="rId6" w:history="1">
        <w:r w:rsidRPr="001C38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 статьи 19</w:t>
        </w:r>
      </w:hyperlink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5.04.2013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года№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«О контрактной системе в сфере закупок товаров, работ, услуг для обеспечения</w:t>
      </w:r>
      <w:proofErr w:type="gramEnd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нужд» (далее - Закон о контра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ктной системе в сфере закупок) и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порядок определения нормативных затрат на обеспечение функций Совета депутатов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структурн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района, наделенно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статусом юридического лица (далее - муниципальны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орган), и подв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едомственное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подведомственные заказчики), в части закупок</w:t>
      </w:r>
      <w:proofErr w:type="gramEnd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 и услуг для обоснования в соответствии со </w:t>
      </w:r>
      <w:hyperlink r:id="rId7" w:history="1">
        <w:r w:rsidRPr="001C38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 закупок, наименования объектов которых включаются в планы-графики закупок (далее - нормативные затраты).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Нормативные затраты в части затрат на обеспечение функций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Нормативные затраты рассчитываются в соответствии с Методикой определения нормативных затрат на обеспечение функций муниципальных органов, включая подведомственные казенные учреждения (далее - Методика), согласно приложению к настоящим Правилам.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нормативных затрат осуществляется по видам затрат, предусмотренным в пункте 6 раздела II «Виды и состав нормативных затрат» Общих правил.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Отнесение затрат к одному из видов затрат, предусмотренных в пункте 6 раздела II «Виды и состав нормативных затрат» Общих правил,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Муниципальные органы при утверждении нормативных затрат вправе устанавливать иные формулы расчета и порядок их применения.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муниципальных органов, включая подведомственных заказчиков, как получателей средств муниципа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сельское поселение Лабинского района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закупку товаров, работ, услуг в рамках исполнения бюджета муниципального образования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 Лабинского района.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6 настоящих Правил.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определения нормативных затрат в формулах используются нормативы цены и количества товаров, работ, услуг, утверждаемые муниципальными органами.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цены товаров, работ и услуг, устанавливаемый в формулах расчета, определяется с учетом положений статьи 22 Закона о контрактной системе.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работников), нормативы: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количества абонентских номеров пользовательского (оконечного) оборудования, подключенного к сети подвижной связи;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цены услуг подвижной связи с учетом нормативов, предусмотренных приложением № 1 к Методике;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количества SIM-карт, используемых в планшетных компьютерах;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количества и цены рабочих станций; </w:t>
      </w:r>
    </w:p>
    <w:p w:rsidR="00CB7CF2" w:rsidRPr="001C38ED" w:rsidRDefault="00CB7CF2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00ADF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и количества принтеров, многофункциональных устройств, копировальных аппаратов (оргтехники);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количества и цены средств подвижной связи с учетом нормативов, предусмотренных приложением № 1 к Методике;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количества и цены планшетных компьютеров;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количества и цены магнитных и оптических носителей информации;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перечня периодических печатных изданий и справочной литературы;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л) количества и цены транспортных средств с учетом нормативов, предусмотренных приложением N 2 к Методике;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количества и цены мебели;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количества и цены канцелярских принадлежностей;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количества и цены хозяйственных товаров и принадлежностей;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количества и цены материальных запасов для нужд гражданской обороны;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количества и цены иных товаров и услуг.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заказчиков.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 соответствующего муниципального органа, замещающего старшую должность муниципальной службы. </w:t>
      </w:r>
      <w:proofErr w:type="gramEnd"/>
    </w:p>
    <w:p w:rsidR="00400ADF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Нормативные затраты подлежат размещению в единой информационной системе в сфере закупок. </w:t>
      </w:r>
    </w:p>
    <w:p w:rsidR="00D45BC2" w:rsidRDefault="00D45BC2" w:rsidP="00D45BC2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5BC2" w:rsidRDefault="00D45BC2" w:rsidP="00D45BC2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0475" w:rsidRPr="00D026AF" w:rsidRDefault="00740475" w:rsidP="00740475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721BE">
        <w:rPr>
          <w:rFonts w:ascii="Times New Roman" w:hAnsi="Times New Roman" w:cs="Times New Roman"/>
          <w:sz w:val="28"/>
          <w:szCs w:val="28"/>
        </w:rPr>
        <w:t xml:space="preserve">    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1D5" w:rsidRDefault="00D831D5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910"/>
        <w:gridCol w:w="4945"/>
      </w:tblGrid>
      <w:tr w:rsidR="005D17F0" w:rsidRPr="005D17F0" w:rsidTr="005D17F0">
        <w:tc>
          <w:tcPr>
            <w:tcW w:w="4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7F0" w:rsidRPr="005D17F0" w:rsidRDefault="005D17F0" w:rsidP="005D1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7F0" w:rsidRPr="005D17F0" w:rsidRDefault="005D17F0" w:rsidP="005D1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5D17F0" w:rsidRPr="005D17F0" w:rsidRDefault="005D17F0" w:rsidP="005D1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ПРАВИЛАМ</w:t>
            </w:r>
          </w:p>
          <w:p w:rsidR="005D17F0" w:rsidRPr="005D17F0" w:rsidRDefault="005D17F0" w:rsidP="005D1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определения нормативных затрат на обеспечение функций администрации Харьковского сельского поселения </w:t>
            </w:r>
            <w:r w:rsidRPr="005D17F0">
              <w:rPr>
                <w:rFonts w:ascii="Times New Roman" w:hAnsi="Times New Roman" w:cs="Times New Roman"/>
                <w:sz w:val="28"/>
                <w:szCs w:val="28"/>
              </w:rPr>
              <w:t xml:space="preserve">района «Центр Культуры и </w:t>
            </w: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Лабинского района, включая </w:t>
            </w:r>
            <w:r w:rsidRPr="005D17F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Харьковского сельского поселения Лабинского района «Центр Культуры и Досуга»</w:t>
            </w:r>
            <w:proofErr w:type="gramEnd"/>
          </w:p>
        </w:tc>
      </w:tr>
    </w:tbl>
    <w:p w:rsidR="005D17F0" w:rsidRPr="005D17F0" w:rsidRDefault="005D17F0" w:rsidP="005D1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МЕТОДИКА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ОПРЕДЕЛЕНИЯ НОРМАТИВНЫХ ЗАТРАТ НА ОБЕСПЕЧЕНИЕ ФУНКЦИЙ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ОРГАНОВ, ВКЛЮЧАЯ ПОДВЕДОМСТВЕННОЕ КАЗЕННОЕ УЧРЕЖДЕНИЕ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При определении нормативных затрат используется показатель численности основных работников (Ч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Показатель численности основных работников определяется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/раб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змд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нмс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1,1,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/раб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фактическая численность муниципальных служащих (работников);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змд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фактическая численность лиц, замещающих муниципальные должности;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нмс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1,1 - коэффициент, который может быть использован на случай замещения вакантных должностей.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Par19"/>
      <w:bookmarkEnd w:id="0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II. Затраты на информационно-коммуникационные технологии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 Затраты на услуги связи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1.1. Затраты на абонентскую плату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0500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абонентской платой;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H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абонентской платой.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1.2. Затраты на повременную оплату местных, междугородних и международных телефонных соединений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повр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повр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затраты на повременную оплату местных телефонных соединений;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затраты на повременную оплату междугородних телефонных соединений;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затраты на повременную оплату международных телефонных соединений.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1.2.1. Затраты на повременную оплату местных телефонных соединений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52650" cy="5334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g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S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g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g-му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g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минуты разговора при местных телефонных соединениях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g-му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g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g-му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1.2.2. Затраты на повременную оплату междугородних телефонных соединений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247900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S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iмг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месяцев предоставления услуги междугородней телефонной связи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1.2.3. Затраты на повременную оплату международных телефонных соединений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390775" cy="5334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S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j-му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j-му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месяцев предоставления услуги международной телефонной связи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j-му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1.3. Затраты на оплату услуг подвижной связи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9550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 с учетом нормативов, предусмотренных приложением 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№ 1 к Методике;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месяцев предоставления услуги подвижной связи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1.4. Затраты на передачу данных с использованием информационно-телекоммуникационной сети Интернет и услуги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интернет-провайдеров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планшетных компьютеров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19275" cy="5143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SIM-карт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ежемесячная цена в расчете на одну SIM-карту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iип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месяцев предоставления услуги передачи данных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1.5. Затраты на передачу данных с использованием информационно-телекоммуникационной сети Интернет и услуги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интернет-провайдеров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9725" cy="5143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каналов передачи данных сети Интернет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пропускной способностью;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месячная цена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аренды канала передачи данных сети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Интернет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пропускной способностью;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месяцев аренды канала передачи данных сети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Интернет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пропускной способностью.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1.6. Затраты на оплату услуг по предоставлению цифровых потоков для коммутируемых телефонных соединений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19275" cy="5143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организованных цифровых потоков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абонентской платой;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с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абонентской платой.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1.7. Затраты на оплату иных услуг связи в сфере информационно-коммуникационных технологий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962025" cy="5143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иной услуге связи, определяемая по фактическим данным отчетного финансового года.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1.8. Затраты на оплату услуг по приему и передаче телеграмм.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затрат на оплату услуг по приему и передаче телеграмм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1.9. Иные затраты на услуги связи.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 на услуги связи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2. Затраты на аренду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затрат на аренду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 Затраты на содержание имущества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3.1. Затраты на техническое обслуживание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регламентно-профилактический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 вычислительной техники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514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фактическое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вычислительной техники, но не более предельного количества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вычислительной техники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пред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ремонта в расчете на одну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i-ю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вычислительную технику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Предельное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вычислительной техники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пред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определяется с округлением до целого по формулам: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пред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0,2 - для закрытого контура обработки информации,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iрвт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пред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0,1 - для открытого контура обработки информации,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 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численность основных работников.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3.2. Затраты на техническое обслуживание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регламентно-профилактический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 оборудования по обеспечению безопасности информации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ремонта одной единицы i-го оборудования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3.3. Затраты на техническое обслуживание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регламентно-профилактический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станций)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514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автоматизированных телефонных станций i-го вида;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ремонта одной автоматизированной телефонной станции i-го вида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3.4. Затраты на техническое обслуживание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регламентно-профилактический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 локальных вычислительных сетей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лвс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5143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лвс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устройств локальных вычислительных сетей i-го вида;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лвс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ремонта одного устройства локальных вычислительных сетей i-го вида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3.5. Затраты на техническое обслуживание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регламентно-профилактический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 систем бесперебойного питания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модулей бесперебойного питания i-го вида;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ремонта одного модуля бесперебойного питания i-го вида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3.6. Затраты на техническое обслуживание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регламентно-профилактический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 принтеров, многофункциональных устройств, копировальных аппаратов (оргтехники)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рпм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600200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рпм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принтеров, многофункциональных устройств, копировальных аппаратов (оргтехники)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рпм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регламентно-профилактического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ремонта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принтеров, многофункциональных устройств, копировальных аппаратов (оргтехники)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3.7. Затраты на техническое обслуживание и диагностику информационно-коммуникационного оборудования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ико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ико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единиц i-го информационно-коммуникационного оборудования;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ико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диагностики одной единицы i-го информационно-коммуникационного оборудования в год.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3.8. Иные затраты, относящиеся к затратам на содержание имущества в сфере информационно-коммуникационных технологий.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затрат, относящихся к затратам на содержание имущества в сфере информационно-коммуникационных технологий,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 Затраты на приобретение прочих работ и услуг,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не относящиеся к затратам на услуги связи, аренду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и содержание имущества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сип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866900" cy="533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g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спо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сопровождения g-го программного обеспечения, определяемая согласно перечню работ по сопровождению g-го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работ по сопровождению g-го программного обеспечения;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пнл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4.2. Затраты на оплату услуг, связанных с обеспечением безопасности информации.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затрат на оплату услуг, связанных с обеспечением безопасности информации, устанавливается муниципальным органом при утверждении нормативных затрат с определением формул расчета и порядка их применения.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4.3. Затраты на оплату работ по монтажу (установке), дооборудованию и наладке оборудования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76350" cy="514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монтажа (установки), дооборудования и наладки одной единицы i-го оборудования.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4.4. Затраты на оплату услуг по сопровождению справочно-правовых систем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сспс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43000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сспс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сопровождения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4.5. Затраты на проведение аттестационных, проверочных и контрольных мероприятий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76500" cy="533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аттестуемых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объектов (помещений);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проведения аттестации одного i-го объекта (помещения);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ус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единиц j-го оборудования (устройств), требующих проверки;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ус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проведения проверки одной единицы j-го оборудования (устройства).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4.6. Затраты на оплату работ по утилизации информационно-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коммуникационного оборудования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уико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514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уико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единиц i-го информационно-коммуникационного оборудования, подлежащего утилизации;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уико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утилизации одной единицы i-го информационно-коммуникационного оборудования.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4.7. Затраты на изготовление криптографических ключей шифрования и электронной подписи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эцп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514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эцп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криптографических ключей шифрования (электронных подписей) i-го типа, подлежащих изготовлению;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эцп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изготовления одной единицы криптографического ключа шифрования (электронной подписи) i-го типа.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4.8.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устанавливается муниципальным органом при утверждении нормативных затрат.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 Затраты на приобретение основных средств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5.1. Затраты на приобретение рабочих станций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рст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рстпред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рабочих станций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должности, не превышающее предельное количество рабочих станций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рст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приобретения одной рабочей станции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Предельное количество рабочих станций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(</w:t>
      </w: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рстпред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определяется по формулам: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рстпред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0,2 - для закрытого контура обработки информации,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рстпред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1 - для открытого контура обработки информации,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 Ч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оп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численность основных работников.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750" cy="514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5.3. Затраты на приобретение средств подвижной связи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0500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средств подвижной связи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 с учетом </w:t>
      </w:r>
      <w:hyperlink w:anchor="Par974" w:history="1">
        <w:r w:rsidRPr="005D17F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нормативов</w:t>
        </w:r>
      </w:hyperlink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 предусмотренных приложением N 1 к Методике;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прсот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одного средства подвижной связи для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 с учетом </w:t>
      </w:r>
      <w:hyperlink w:anchor="Par974" w:history="1">
        <w:r w:rsidRPr="005D17F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нормативов</w:t>
        </w:r>
      </w:hyperlink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 предусмотренных приложением № 1 к Методике.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5.4. Затраты на приобретение планшетных компьютеров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прпк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9545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прпк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планшетных компьютеров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прпк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одного планшетного компьютера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5.5. Затраты на приобретение оборудования по обеспечению безопасности информации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обин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69545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обин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i-го оборудования по обеспечению безопасности информации;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обин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5.6. Иные затраты, относящиеся к затратам на приобретение основных сре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дств в сф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ере информационно-коммуникационных технологий.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затрат, относящихся к затратам на приобретение основных сре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дств в сф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ере информационно-коммуникационных технологий,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6. Затраты на приобретение нематериальных активов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6.1. Затраты на приобретение исключительных лицензий на использование программного обеспечения.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затрат на приобретение исключительных лицензий на использование программного обеспечения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6.2. Затраты на доработку существующего прикладного программного обеспечения, числящегося на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балансе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органа, и других нематериальных активов в сфере информационно-коммуникационных технологий.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затрат на доработку существующего прикладного программного обеспечения, числящегося на балансе муниципального органа, и других нематериальных активов в сфере информационно-коммуникационных технологий устанавливается муниципальным органом при утверждении нормативных затрат.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 Затраты на приобретение материальных запасов в сфере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информационно-коммуникационных технологий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7.1. Затраты на приобретение мониторов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мон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7350" cy="514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мон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мониторов;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мон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одного i-го монитора.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7.2. Затраты на приобретение системных блоков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371600" cy="514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системных блоков;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сб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одного i-го системного блока.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7.3. Затраты на приобретение других запасных частей для вычислительной техники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двт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90675" cy="514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дтв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дтв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одной единицы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запасной части для вычислительной техники.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7.4. Затраты на приобретение магнитных и оптических носителей информации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),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75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носителей информации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мн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одной единицы носителя информации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7.5. Затраты на приобретение деталей для содержания принтеров, многофункциональных устройств, копировальных аппаратов (оргтехники)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дсо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дсо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7.5.1.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должности в соответствии с нормативами муниципальных органов.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7.5.2.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2075" cy="514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одной единицы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запасной части.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7.6. Затраты на приобретение материальных запасов по обеспечению безопасности информации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мби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мби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i-го материального запаса;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мби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одной единицы i-го материального запаса.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7.7. Иные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затрат, относящихся к затратам на приобретение материальных запасов в сфере информационно-коммуникационных технологий,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8. Иные затраты в сфере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информационно-коммуникационных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технологий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III. Затраты на капитальный ремонт муниципального имущества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Затраты на капитальный ремонт муниципального имущества определяются на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затрат, связанных со строительными работами, и затрат на разработку проектной документации.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 Затраты на разработку проектной документации определяются в соответствии со статьей 22 Федерального закона от 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К затратам на капитальный ремонт муниципального имущества относятся: 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затраты на транспортные услуги; 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затраты на аренду; 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затраты на содержание муниципального имущества; 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затраты на приобретение прочих работ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услуг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,н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относящихся к затратам на транспортные услуги,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арендуи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содержание муниципального имущества;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- затраты на приобретение основных средств;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- затраты на приобретение материальных запасов;</w:t>
      </w:r>
    </w:p>
    <w:p w:rsidR="005D17F0" w:rsidRPr="005D17F0" w:rsidRDefault="005D17F0" w:rsidP="005D17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иные затраты, связанные с осуществлением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капитальногоремонта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имущества.</w:t>
      </w:r>
    </w:p>
    <w:p w:rsidR="005D17F0" w:rsidRPr="005D17F0" w:rsidRDefault="005D17F0" w:rsidP="005D17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Порядок расчета затрат, указанных в пункте 4 раздела </w:t>
      </w:r>
      <w:r w:rsidRPr="005D17F0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настоящей Методики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IV. Затраты на финансовое обеспечение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строительства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еконструкции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 том числе с элементами реставрации),технического перевооружения объектов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капитальногостроительства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собственности или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приобретениеобъектов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недвижимого имущества в муниципальную собственность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2. 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 К затратам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относятся: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- затраты на аренду;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затраты на приобретение прочих работ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услуг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,н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относящихся к затратам на аренду,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связанныхс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осуществлением строительства, реконструкции (в том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числес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элементами реставрации) и технического перевооружения;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затраты на приобретение основных средств 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приобретениенепроизведенных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активов;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- затраты на приобретение материальных запасов;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- иные затраты, связанные со строительством, реконструкцие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 с элементами реставрации),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техническимперевооружением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объектов капитального строительства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илис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приобретением объектов недвижимого имущества.</w:t>
      </w:r>
    </w:p>
    <w:p w:rsidR="005D17F0" w:rsidRPr="005D17F0" w:rsidRDefault="005D17F0" w:rsidP="005D17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Порядок расчета затрат, указанных в пункте 3 раздела </w:t>
      </w:r>
      <w:r w:rsidRPr="005D17F0">
        <w:rPr>
          <w:rFonts w:ascii="Times New Roman" w:hAnsi="Times New Roman" w:cs="Times New Roman"/>
          <w:bCs/>
          <w:sz w:val="28"/>
          <w:szCs w:val="28"/>
          <w:lang w:val="en-US" w:eastAsia="ru-RU"/>
        </w:rPr>
        <w:t>IV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настоящей Методики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Par412"/>
      <w:bookmarkEnd w:id="1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V. Затраты на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дополнительное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профессиональное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образованиеработников</w:t>
      </w:r>
      <w:proofErr w:type="spell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 Затраты на приобретение образовательных услуг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 профессиональной переподготовке и повышению квалификации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дпо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43050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iдпо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работников, направляемых на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вид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дополнительного профессионального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iдпо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обучения одного работника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виду 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дополнительного профессионального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" w:name="Par449"/>
      <w:bookmarkEnd w:id="2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VI. Прочие затраты (в том числе затраты на закупку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товаров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абот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услуг в целях оказания муниципальных услуг(выполнения работ) и реализации муниципальных функций),не указанные в разделах II - </w:t>
      </w:r>
      <w:hyperlink w:anchor="Par412" w:history="1">
        <w:r w:rsidRPr="005D17F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V</w:t>
        </w:r>
      </w:hyperlink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Методики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 Затраты на услуги связи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1.1. Затраты на оплату услуг почтовой связи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почтовых отправлений в год;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п</w:t>
      </w:r>
      <w:proofErr w:type="spellEnd"/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одного i-го почтового отправления.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2. Затраты на транспортные услуги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2.1. Затраты по договору об оказании услуг перевозки (транспортировки) грузов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2075" cy="514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 перевозки (транспортировки) грузов;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дг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одной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 перевозки (транспортировки) груза.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2.2. Затраты на оплату услуг аренды транспортных средств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аут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955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Q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аут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i-х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13" w:history="1">
        <w:r w:rsidRPr="005D17F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нормативами</w:t>
        </w:r>
      </w:hyperlink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 предусмотренными приложением № 2 к Методике;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P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iаут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муниципальными правовым актом, устанавливающим правилам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унитарными предприятиями отдельным видам товаров, работ, услуг (в том числе предельных цен товаров, работ, услуг);</w:t>
      </w:r>
      <w:proofErr w:type="gramEnd"/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N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аут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аренды i-го транспортного средства.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 Затраты на коммунальные услуги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3.1. Затраты на газоснабжение и иные виды топлива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тариф на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k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3.2. Затраты на электроснабжение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эс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514350"/>
            <wp:effectExtent l="0" t="0" r="9525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эс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i-й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одноставочного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двуставочного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тарифа);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i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эс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потребность электроэнергии в год по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i-му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одноставочного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двуставочного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тарифа).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3.3. Затраты на теплоснабжение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топл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топл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теплоэнергии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теплоснабжение.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3.4. Затраты на горячее водоснабжение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потребность в горячей воде;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гв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3.5. Затраты на холодное водоснабжение и водоотведение (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хв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хв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хв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хв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во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x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во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где: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хв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хв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во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расчетная потребность в водоотведении;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5D17F0">
        <w:rPr>
          <w:rFonts w:ascii="Times New Roman" w:hAnsi="Times New Roman" w:cs="Times New Roman"/>
          <w:bCs/>
          <w:sz w:val="28"/>
          <w:szCs w:val="28"/>
          <w:vertAlign w:val="subscript"/>
          <w:lang w:eastAsia="ru-RU"/>
        </w:rPr>
        <w:t>во</w:t>
      </w:r>
      <w:proofErr w:type="spell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водоотведение.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4.6. Иные затраты, относящиеся к затратам на коммунальные услуги в рамках затрат, указанных в разделе VI Методики.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Порядок расчета иных затрат, относящихся к затратам на коммунальные услуги в рамках затрат, указанных в разделе VI Методики, устанавливается муниципальным органом при утверждении нормативных затрат.</w:t>
      </w:r>
    </w:p>
    <w:p w:rsidR="005D17F0" w:rsidRPr="005D17F0" w:rsidRDefault="005D17F0" w:rsidP="005D17F0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5D17F0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7F0" w:rsidRDefault="005D17F0" w:rsidP="005D17F0">
      <w:pPr>
        <w:tabs>
          <w:tab w:val="left" w:pos="7380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17F0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А.С. </w:t>
      </w:r>
      <w:proofErr w:type="spellStart"/>
      <w:r w:rsidRPr="005D17F0"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 w:rsidRPr="005D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F0" w:rsidRPr="005D17F0" w:rsidRDefault="005D17F0" w:rsidP="005D17F0">
      <w:pPr>
        <w:tabs>
          <w:tab w:val="left" w:pos="7380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5D17F0" w:rsidSect="00FA3E6B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p w:rsid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Default="005D17F0" w:rsidP="00E4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к Методике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3" w:name="Par974"/>
      <w:bookmarkEnd w:id="3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НОРМАТИВЫ,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ПРИМЕНЯЕМЫЕ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РАСЧЕТЕ НОРМАТИВНЫХ ЗАТРАТ НА ПРИОБРЕТЕНИЕ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СРЕДСТВ ПОДВИЖНОЙ СВЯЗИ И УСЛУГ ПОДВИЖНОЙ СВЯЗИ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685"/>
        <w:gridCol w:w="4110"/>
        <w:gridCol w:w="4111"/>
      </w:tblGrid>
      <w:tr w:rsidR="005D17F0" w:rsidRPr="005D17F0" w:rsidTr="005D17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Группа должностей &lt;*&gt;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сре</w:t>
            </w:r>
            <w:proofErr w:type="gramStart"/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дств св</w:t>
            </w:r>
            <w:proofErr w:type="gramEnd"/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язи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Цена средства связи &lt;**&gt;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Расходы на услуги связи &lt;***&gt;</w:t>
            </w:r>
          </w:p>
        </w:tc>
      </w:tr>
      <w:tr w:rsidR="005D17F0" w:rsidRPr="005D17F0" w:rsidTr="005D17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D17F0" w:rsidRPr="005D17F0" w:rsidTr="005D17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более одной единицы в расчете на муниципального служащего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более 10 тыс. рублей включительно за одну единицу в расчете на муниципального служащего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ежемесячные расходы не более 2 тыс. рублей в расчете на муниципального служащего</w:t>
            </w:r>
          </w:p>
        </w:tc>
      </w:tr>
      <w:tr w:rsidR="005D17F0" w:rsidRPr="005D17F0" w:rsidTr="005D17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более одной единицы в расчете на муниципального служащего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более 5 тыс. рублей включительно за одну единицу в расчете на муниципального служащего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ежемесячные расходы не более 1 тыс. рублей в расчете на муниципального служащего</w:t>
            </w:r>
          </w:p>
        </w:tc>
      </w:tr>
      <w:tr w:rsidR="005D17F0" w:rsidRPr="005D17F0" w:rsidTr="005D17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Старшая, младшая должности муниципальной службы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Обеспечение средствами связи и возмещение расходов на услуги связи осуществляется по решению руководителя муниципального органа &lt;***&gt;</w:t>
            </w:r>
          </w:p>
        </w:tc>
      </w:tr>
    </w:tbl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&lt;*&gt; Группы должностей приводятся в соответствии с </w:t>
      </w:r>
      <w:hyperlink r:id="rId48" w:history="1">
        <w:r w:rsidRPr="005D17F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Реестром</w:t>
        </w:r>
      </w:hyperlink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должностей Харьковского сельского поселения Лабинского района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&lt;**&gt; Периодичность приобретения сре</w:t>
      </w: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язи определяется максимальным сроком полезного использования и </w:t>
      </w: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составляет пять лет.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&lt;***&gt;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  <w:proofErr w:type="gramEnd"/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5D17F0" w:rsidRPr="005D17F0" w:rsidSect="005D17F0">
          <w:pgSz w:w="16838" w:h="11905" w:orient="landscape"/>
          <w:pgMar w:top="851" w:right="709" w:bottom="1418" w:left="1021" w:header="0" w:footer="0" w:gutter="0"/>
          <w:cols w:space="720"/>
          <w:noEndnote/>
        </w:sectPr>
      </w:pP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к Методике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4" w:name="Par1013"/>
      <w:bookmarkEnd w:id="4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НОРМАТИВЫ,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ПРИМЕНЯЕМЫЕ</w:t>
      </w:r>
      <w:proofErr w:type="gramEnd"/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РАСЧЕТЕ НОРМАТИВНЫХ ЗАТРАТ НА ПРИОБРЕТЕНИЕ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7F0">
        <w:rPr>
          <w:rFonts w:ascii="Times New Roman" w:hAnsi="Times New Roman" w:cs="Times New Roman"/>
          <w:bCs/>
          <w:sz w:val="28"/>
          <w:szCs w:val="28"/>
          <w:lang w:eastAsia="ru-RU"/>
        </w:rPr>
        <w:t>СЛУЖЕБНОГО ЛЕГКОВОГО АВТОТРАНСПОРТА</w:t>
      </w: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7F0" w:rsidRPr="005D17F0" w:rsidRDefault="005D17F0" w:rsidP="00E47AE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6379"/>
      </w:tblGrid>
      <w:tr w:rsidR="005D17F0" w:rsidRPr="005D17F0" w:rsidTr="005D17F0">
        <w:tc>
          <w:tcPr>
            <w:tcW w:w="1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Транспортное средство с персональным закреплением</w:t>
            </w:r>
          </w:p>
        </w:tc>
      </w:tr>
      <w:tr w:rsidR="005D17F0" w:rsidRPr="005D17F0" w:rsidTr="005D17F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цена</w:t>
            </w:r>
          </w:p>
        </w:tc>
      </w:tr>
      <w:tr w:rsidR="005D17F0" w:rsidRPr="005D17F0" w:rsidTr="005D17F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более одной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F0" w:rsidRPr="005D17F0" w:rsidRDefault="005D17F0" w:rsidP="00E47A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более 2,5 млн. рублей включительно для муниципального служащего, замещающего должность, относящуюся к высшей группе должностей муниципальной службы</w:t>
            </w:r>
          </w:p>
        </w:tc>
      </w:tr>
    </w:tbl>
    <w:p w:rsidR="005D17F0" w:rsidRPr="005D17F0" w:rsidRDefault="005D17F0" w:rsidP="00E47AEF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17F0" w:rsidRPr="005D17F0" w:rsidRDefault="005D17F0" w:rsidP="00E47A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E4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E4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E4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E4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E47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7F0" w:rsidRPr="005D17F0" w:rsidRDefault="005D17F0" w:rsidP="005D17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D17F0" w:rsidRPr="005D17F0" w:rsidSect="005D17F0">
      <w:pgSz w:w="16838" w:h="11906" w:orient="landscape"/>
      <w:pgMar w:top="567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E92"/>
    <w:rsid w:val="00012421"/>
    <w:rsid w:val="000F6863"/>
    <w:rsid w:val="0010764E"/>
    <w:rsid w:val="00113C2E"/>
    <w:rsid w:val="001A45F3"/>
    <w:rsid w:val="001C38ED"/>
    <w:rsid w:val="001F61DD"/>
    <w:rsid w:val="00294BC3"/>
    <w:rsid w:val="00296E92"/>
    <w:rsid w:val="002F75F9"/>
    <w:rsid w:val="0033597A"/>
    <w:rsid w:val="00354CB7"/>
    <w:rsid w:val="003B5B33"/>
    <w:rsid w:val="00400ADF"/>
    <w:rsid w:val="00480F60"/>
    <w:rsid w:val="005276C8"/>
    <w:rsid w:val="005522B7"/>
    <w:rsid w:val="005D17F0"/>
    <w:rsid w:val="006175FD"/>
    <w:rsid w:val="00623B23"/>
    <w:rsid w:val="00723EB1"/>
    <w:rsid w:val="00740475"/>
    <w:rsid w:val="00842FC3"/>
    <w:rsid w:val="008721BE"/>
    <w:rsid w:val="008C6ABF"/>
    <w:rsid w:val="008D3EC6"/>
    <w:rsid w:val="00973132"/>
    <w:rsid w:val="00A1456A"/>
    <w:rsid w:val="00CB7CF2"/>
    <w:rsid w:val="00D45BC2"/>
    <w:rsid w:val="00D61DC1"/>
    <w:rsid w:val="00D831D5"/>
    <w:rsid w:val="00E4136C"/>
    <w:rsid w:val="00E46B16"/>
    <w:rsid w:val="00E47AEF"/>
    <w:rsid w:val="00ED147C"/>
    <w:rsid w:val="00F276E2"/>
    <w:rsid w:val="00F463A7"/>
    <w:rsid w:val="00F5629A"/>
    <w:rsid w:val="00FA3E6B"/>
    <w:rsid w:val="00FC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ADF"/>
    <w:rPr>
      <w:strike w:val="0"/>
      <w:dstrike w:val="0"/>
      <w:color w:val="2747A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00ADF"/>
    <w:rPr>
      <w:b/>
      <w:bCs/>
    </w:rPr>
  </w:style>
  <w:style w:type="paragraph" w:styleId="a5">
    <w:name w:val="Normal (Web)"/>
    <w:basedOn w:val="a"/>
    <w:uiPriority w:val="99"/>
    <w:semiHidden/>
    <w:unhideWhenUsed/>
    <w:rsid w:val="00400AD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1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1DD"/>
    <w:pPr>
      <w:ind w:left="720"/>
      <w:contextualSpacing/>
    </w:pPr>
  </w:style>
  <w:style w:type="paragraph" w:styleId="a9">
    <w:name w:val="No Spacing"/>
    <w:uiPriority w:val="1"/>
    <w:qFormat/>
    <w:rsid w:val="001F61DD"/>
    <w:pPr>
      <w:spacing w:after="0" w:line="240" w:lineRule="auto"/>
    </w:pPr>
  </w:style>
  <w:style w:type="paragraph" w:styleId="aa">
    <w:name w:val="Body Text"/>
    <w:basedOn w:val="a"/>
    <w:link w:val="ab"/>
    <w:uiPriority w:val="99"/>
    <w:rsid w:val="001F61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F6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39"/>
    <w:rsid w:val="00107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17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416CC7121A3CC8A2361E09BF535A4B070E6E510BC5305B871BADC6B13CFC2FC39F86F088F000040026863E82A524DA33CB307FF3D747568D2HFN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222A4784C72B00C7975DF22C9F5060B17BF77D0B9AA2F703D7B567BC9E952E9375CD7728F8B4916B94FCEF302B0AE57DE9517FC2B203FBO4h0H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hyperlink" Target="consultantplus://offline/ref=F63FACDFC60D5D9F866E7E27DBB86408C1162F6236929E2765E4234D396B5A31019732DA370159020519A9A144843F31604789FC0D13826EE5B88AD2N9I" TargetMode="Externa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DED3-8394-4A9D-8BF0-B434B124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win7</cp:lastModifiedBy>
  <cp:revision>25</cp:revision>
  <cp:lastPrinted>2020-10-16T09:09:00Z</cp:lastPrinted>
  <dcterms:created xsi:type="dcterms:W3CDTF">2020-07-17T12:48:00Z</dcterms:created>
  <dcterms:modified xsi:type="dcterms:W3CDTF">2020-10-16T09:23:00Z</dcterms:modified>
</cp:coreProperties>
</file>